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53F5" w:rsidRDefault="00A653F5" w:rsidP="00A653F5">
      <w:pPr>
        <w:pStyle w:val="NormalWeb"/>
        <w:shd w:val="clear" w:color="auto" w:fill="F9F9F9"/>
        <w:spacing w:before="0" w:beforeAutospacing="0" w:after="360" w:afterAutospacing="0"/>
        <w:jc w:val="both"/>
        <w:rPr>
          <w:rFonts w:ascii="Helvetica Neue" w:hAnsi="Helvetica Neue"/>
          <w:color w:val="111111"/>
          <w:sz w:val="21"/>
          <w:szCs w:val="21"/>
        </w:rPr>
      </w:pPr>
    </w:p>
    <w:p w:rsidR="00A653F5" w:rsidRPr="00A653F5" w:rsidRDefault="00A653F5" w:rsidP="00A653F5">
      <w:pPr>
        <w:shd w:val="clear" w:color="auto" w:fill="F9F9F9"/>
        <w:spacing w:before="100" w:beforeAutospacing="1" w:after="120"/>
        <w:outlineLvl w:val="0"/>
        <w:rPr>
          <w:rFonts w:ascii="Helvetica Neue" w:eastAsia="Times New Roman" w:hAnsi="Helvetica Neue" w:cs="Times New Roman"/>
          <w:b/>
          <w:bCs/>
          <w:color w:val="111111"/>
          <w:kern w:val="36"/>
          <w:sz w:val="36"/>
          <w:szCs w:val="36"/>
          <w:lang w:val="es-AR" w:eastAsia="es-ES_tradnl"/>
        </w:rPr>
      </w:pPr>
      <w:r w:rsidRPr="00A653F5">
        <w:rPr>
          <w:rFonts w:ascii="Helvetica Neue" w:eastAsia="Times New Roman" w:hAnsi="Helvetica Neue" w:cs="Times New Roman"/>
          <w:b/>
          <w:bCs/>
          <w:color w:val="111111"/>
          <w:kern w:val="36"/>
          <w:sz w:val="36"/>
          <w:szCs w:val="36"/>
          <w:lang w:val="es-AR" w:eastAsia="es-ES_tradnl"/>
        </w:rPr>
        <w:t>AISLAMIENTO SOCIAL, PREVENTIVO Y OBLIGATORIO</w:t>
      </w:r>
    </w:p>
    <w:p w:rsidR="00A653F5" w:rsidRPr="00A653F5" w:rsidRDefault="00A653F5" w:rsidP="00A653F5">
      <w:pPr>
        <w:shd w:val="clear" w:color="auto" w:fill="F9F9F9"/>
        <w:spacing w:before="375" w:after="120"/>
        <w:outlineLvl w:val="1"/>
        <w:rPr>
          <w:rFonts w:ascii="Helvetica Neue" w:eastAsia="Times New Roman" w:hAnsi="Helvetica Neue" w:cs="Times New Roman"/>
          <w:b/>
          <w:bCs/>
          <w:color w:val="111111"/>
          <w:sz w:val="30"/>
          <w:szCs w:val="30"/>
          <w:lang w:val="es-AR" w:eastAsia="es-ES_tradnl"/>
        </w:rPr>
      </w:pPr>
      <w:r w:rsidRPr="00A653F5">
        <w:rPr>
          <w:rFonts w:ascii="Helvetica Neue" w:eastAsia="Times New Roman" w:hAnsi="Helvetica Neue" w:cs="Times New Roman"/>
          <w:b/>
          <w:bCs/>
          <w:color w:val="111111"/>
          <w:sz w:val="30"/>
          <w:szCs w:val="30"/>
          <w:lang w:val="es-AR" w:eastAsia="es-ES_tradnl"/>
        </w:rPr>
        <w:t>Decisión Administrativa 1146/2020</w:t>
      </w:r>
    </w:p>
    <w:p w:rsidR="00A653F5" w:rsidRPr="00A653F5" w:rsidRDefault="00A653F5" w:rsidP="00A653F5">
      <w:pPr>
        <w:shd w:val="clear" w:color="auto" w:fill="F9F9F9"/>
        <w:spacing w:before="225" w:after="120"/>
        <w:outlineLvl w:val="5"/>
        <w:rPr>
          <w:rFonts w:ascii="Helvetica Neue" w:eastAsia="Times New Roman" w:hAnsi="Helvetica Neue" w:cs="Times New Roman"/>
          <w:b/>
          <w:bCs/>
          <w:color w:val="666666"/>
          <w:lang w:val="es-AR" w:eastAsia="es-ES_tradnl"/>
        </w:rPr>
      </w:pPr>
      <w:r w:rsidRPr="00A653F5">
        <w:rPr>
          <w:rFonts w:ascii="Helvetica Neue" w:eastAsia="Times New Roman" w:hAnsi="Helvetica Neue" w:cs="Times New Roman"/>
          <w:b/>
          <w:bCs/>
          <w:color w:val="666666"/>
          <w:lang w:val="es-AR" w:eastAsia="es-ES_tradnl"/>
        </w:rPr>
        <w:t>DECAD-2020-1146-APN-JGM - Exceptúa del “aislamiento social, preventivo y obligatorio” y de la prohibición de circular a las actividades, servicios y profesiones indicados para la Provincia de Córdoba. “Distanciamiento social, preventivo y obligatorio” a la localidad de El Bolsón. Exceptúanse actividades religiosas a la Provincia de Santa Fe.</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Ciudad de Buenos Aires, 27/06/2020</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VISTO el Expediente N° EX-2020-38087325-APN-DGDYD#JGM, la Ley N° 27.541, los Decretos Nros. 260 del 12 de marzo de 2020, 297 del 19 de marzo de 2020, 459 del 10 de mayo de 2020, 493 del 24 de mayo de 2020, 520 del 7 de junio de 2020 y su respectiva normativa modificatoria y complementaria, y</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rPr>
      </w:pPr>
      <w:r w:rsidRPr="00B75677">
        <w:rPr>
          <w:rFonts w:ascii="Helvetica Neue" w:hAnsi="Helvetica Neue"/>
          <w:color w:val="FF0000"/>
          <w:sz w:val="21"/>
          <w:szCs w:val="21"/>
          <w:highlight w:val="yellow"/>
        </w:rPr>
        <w:t>CONSIDERANDO:</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mediante el Decreto N° 260/20 se amplió, por el plazo de UN (1) año, la emergencia pública en materia sanitaria establecida por la Ley N° 27.541, en virtud de la pandemia declarada por la ORGANIZACIÓN MUNDIAL DE LA SALUD (OMS) en relación con el COVID-19.</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a través del Decreto N° 297/20 se estableció una medida de aislamiento social, preventivo y obligatorio en todo el país, que fue prorrogada sucesivamente por los Decretos Nros. 325/20, 355/20, 408/20, 459/20 y 493/20, hasta el 7 de junio de 2020, inclusive.</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por el Decreto N° 520/20 se dispuso que entre el 8 y el 28 de junio de 2020 se diferenciará a las distintas áreas geográficas del país, en el marco de la emergencia sanitaria originada por el COVID 19, entre aquellas que pasan a una etapa de “distanciamiento social, preventivo y obligatorio” y las que permanecen en “aislamiento social, preventivo y obligatorio”, de acuerdo al estatus sanitario de cada provincia, departamento y aglomerado.</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en el artículo 13 del citado Decreto N° 520/20 se estableció que en las zonas que se mantienen en el estatus sanitario de “aislamiento social, preventivo y obligatorio” el Jefe de Gabinete de Ministros, en su carácter de Coordinador de la “Unidad de Coordinación General del Plan Integral para la Prevención de Eventos de Salud Pública de Importancia Internacional”, puede autorizar a pedido de las autoridades provinciales o del Jefe de Gobierno de la Ciudad Autónoma de Buenos Aires, nuevas excepciones al cumplimiento del “aislamiento social, preventivo y obligatorio” y a la prohibición de circular con el fin de permitir la realización de actividades industriales, de servicios, comerciales, deportivas o recreativas.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lastRenderedPageBreak/>
        <w:t>Que para el departamento de Bariloche de la Provincia de Río Negro y para la Ciudad de Córdoba y su aglomerado urbano de la Provincia de Córdoba se ha prorrogado, de conformidad con los artículos 10 y 11 del citado Decreto N° 520/20, hasta el 28 de junio de 2020 inclusive, el aislamiento social, preventivo y obligatorio.</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rPr>
      </w:pPr>
      <w:r w:rsidRPr="00B75677">
        <w:rPr>
          <w:rFonts w:ascii="Helvetica Neue" w:hAnsi="Helvetica Neue"/>
          <w:color w:val="FF0000"/>
          <w:sz w:val="21"/>
          <w:szCs w:val="21"/>
          <w:highlight w:val="yellow"/>
        </w:rPr>
        <w:t>Que para habilitar cualquier actividad o servicio en la Ciudad de Córdoba y su aglomerado urbano, en el referido artículo 13 del Decreto N° 520/20, se prevé que las empleadoras y que los empleadores garanticen el traslado de los trabajadores y de las trabajadoras sin la utilización del servicio público de transporte de pasajeros.</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rPr>
      </w:pPr>
      <w:r w:rsidRPr="00B75677">
        <w:rPr>
          <w:rFonts w:ascii="Helvetica Neue" w:hAnsi="Helvetica Neue"/>
          <w:color w:val="FF0000"/>
          <w:sz w:val="21"/>
          <w:szCs w:val="21"/>
          <w:highlight w:val="yellow"/>
        </w:rPr>
        <w:t>Que la Provincia de Córdoba ha solicitado la excepción al cumplimiento del aislamiento social, preventivo y obligatorio y a la prohibición de circular para la Ciudad de Córdoba y su aglomerado urbano, en relación con las personas afectadas a diversas actividades, servicios y profesiones especificados en cada caso, acompañando los respectivos protocolos sanitarios.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por otra parte, el artículo 18 del Decreto N° 520/20 dispone que si se verificare el cumplimiento positivo de los parámetros epidemiológicos y sanitarios previstos en el artículo 2° del citado decreto respecto de un aglomerado urbano, departamento o partido que estuviere incluido en las previsiones del artículo 10, la autoridad provincial respectiva podrá solicitar al Jefe de Gabinete de Ministros, en su carácter de coordinador de la “Unidad de Coordinación General del Plan Integral para la Prevención de Eventos de Salud Pública de Importancia Internacional”, que disponga el cese del “aislamiento social, preventivo y obligatorio” y de la obligación de circular respecto de las personas que habiten o transiten en ese lugar, y la aplicación del 2° y concordantes del decreto citado, previa intervención de la autoridad sanitaria nacional.</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la Provincia de Río Negro ha solicitado incluir a la localidad de El Bolsón, perteneciente al Departamento de Bariloche de la Provincia de Río Negro, dentro de los lugares alcanzados por el distanciamiento social, preventivo y obligatorio previsto en el CAPÍTULO UNO del Decreto N° 520/20.</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por otra parte, con relación a los lugares alcanzados por las citadas medidas de “distanciamiento social, preventivo y obligatorio” como es el caso de la Provincia de Santa Fe, el artículo 9° del referido Decreto N° 520/20 definió una serie de actividades que continuaban vedadas, pudiendo estas ser excepcionadas por el Jefe de Gabinete de Ministros en el citado carácter de Coordinador de la “Unidad de Coordinación General del Plan Integral para la Prevención de Eventos de Salud Pública de Importancia Internacional”.</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la autorización para habilitar cualquier actividad o servicio requiere, de conformidad con el citado artículo 9°, acompañar los protocolos respectivos, los que deberán dar cumplimiento a las recomendaciones e instrucciones de la autoridad sanitaria nacional, quien debe intervenir y expedirse, en forma previa, acerca de la conveniencia de la medida de excepción y respecto de la pertinencia de los protocolo presentados.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la Provincia de Santa Fe ha solicitado se la exceptúe de la prohibición prevista en el artículo 9° de la norma citada, autorizándose las prácticas religiosas con concurrencia de hasta TREINTA (30) personas, presentando los protocolos correspondientes.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 xml:space="preserve">Que en el marco reseñado, resulta necesario el dictado del acto administrativo respectivo autorizando las actividades, servicios y profesiones requeridos por las distintas autoridades </w:t>
      </w:r>
      <w:r>
        <w:rPr>
          <w:rFonts w:ascii="Helvetica Neue" w:hAnsi="Helvetica Neue"/>
          <w:color w:val="111111"/>
          <w:sz w:val="21"/>
          <w:szCs w:val="21"/>
        </w:rPr>
        <w:lastRenderedPageBreak/>
        <w:t>provinciales competentes, así como proceder a modificar el estado sanitario de la localidad de El Bolsón, perteneciente al Departamento de Bariloche de la Provincia de Río Negro.</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ha tomado la intervención de su competencia el MINISTERIO DE SALUD, de conformidad con lo previsto en la normativa vigente.</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el servicio jurídico pertinente ha tomado la intervención de su competencia.</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Que la presente medida se dicta en uso de las atribuciones conferidas por el artículo 100 incisos 1 y 2 de la CONSTITUCIÓN NACIONAL y por los artículos 9°, 13 y 18 del Decreto N° 520/20.</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Por ello,</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EL JEFE DE GABINETE DE MINISTROS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sidRPr="00B75677">
        <w:rPr>
          <w:rFonts w:ascii="Helvetica Neue" w:hAnsi="Helvetica Neue"/>
          <w:color w:val="FF0000"/>
          <w:sz w:val="21"/>
          <w:szCs w:val="21"/>
          <w:highlight w:val="yellow"/>
        </w:rPr>
        <w:t>DECIDE</w:t>
      </w:r>
      <w:r>
        <w:rPr>
          <w:rFonts w:ascii="Helvetica Neue" w:hAnsi="Helvetica Neue"/>
          <w:color w:val="111111"/>
          <w:sz w:val="21"/>
          <w:szCs w:val="21"/>
        </w:rPr>
        <w:t>:</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ARTÍCULO 1°.- Exceptúase del cumplimiento del “aislamiento social, preventivo y obligatorio” y de la prohibición de circular, en los términos establecidos en el artículo 13 del Decreto N° 520/20 y en la presente decisión administrativa, a las personas afectadas a las actividades, servicios y profesiones indicados en el ANEXO I (IF-2020-41032926-APN-SST#SLYT) que forma parte integrante de la presente medida, para la Provincia de Córdoba, y exclusivamente en los ámbitos geográficos allí establecidos.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ARTÍCULO 2°.- Dispónese el cese del “aislamiento social, preventivo y obligatorio” y de la prohibición de circular respecto de las personas que habiten en la localidad de El Bolsón dependiente del Departamento de Bariloche de la Provincia de Río Negro.</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ARTÍCULO 3°.- Establécese que la localidad de El Bolsón dependiente del Departamento de Bariloche de la Provincia de Río Negro pasa a estar alcanzada por las disposiciones del “Distanciamiento social, preventivo y obligatorio” previstas en el CAPÍTULO UNO, del Decreto N° 520/20 a partir del dictado de la presente medida y conforme la intervención del MINISTERIO DE SALUD de la Nación (IF-2020-40175757-APN-SSMEIE#MS).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ARTÍCULO 4°.- Exceptúase de la prohibición dispuesta en el artículo 9° inciso 1 del Decreto N° 520/20 a la Provincia de Santa Fe para la práctica de actividades religiosas con concurrencia de hasta TREINTA (30) personas.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ARTÍCULO 5°.- Las actividades, servicios y profesiones mencionados en el artículo 1° y 4° quedan autorizados para funcionar, conforme los protocolos aprobados por la autoridad sanitaria nacional (IF-2020-40175757-APN-SSMEIE#MS).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En todos los casos se deberá garantizar la organización de turnos, si correspondiere, y los modos de trabajo y de traslado que garanticen las medidas de distanciamiento e higiene necesarias para disminuir el riesgo de contagio del nuevo Coronavirus.</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Los desplazamientos de las personas alcanzadas por el presente artículo deberán limitarse al estricto cumplimiento de la actividad, servicio o profesión exceptuados por la presente.</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lastRenderedPageBreak/>
        <w:t>Las empleadoras y los empleadores deberán garantizar las condiciones de higiene, seguridad y traslado establecidas por las respectivas jurisdicciones para preservar la salud de las trabajadoras y de los trabajadores, y que estos lleguen a sus lugares de trabajo sin la utilización del servicio público de transporte de pasajeros.</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ARTÍCULO 6º.- Las Provincias de Córdoba y de Santa Fe deberán dictar las reglamentaciones necesarias para el desarrollo de las actividades, servicios o profesiones referidos en los artículos 1° y 4°, pudiendo limitar el alcance de la excepción a determinadas áreas geográficas o a determinados municipios, o establecer requisitos específicos para su desarrollo que atiendan a la situación epidemiológica local y a las características propias del lugar, con el fin de minimizar el riesgo de propagación del virus.</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ARTÍCULO 7º.- Las excepciones otorgadas a través de los artículos 1º y 4° de la presente podrán ser dejadas sin efecto por los Gobernadores de las Provincias de Córdoba y de Santa Fe, en el marco de su competencia territorial, en forma total o parcial, en virtud de las recomendaciones de la autoridad sanitaria provincial, y conforme la evolución epidemiológica de la pandemia de COVID-19, debiendo comunicar tal decisión al Jefe de Gabinete de Ministros.</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ARTÍCULO 8º.- Las personas alcanzadas para desarrollar sus actividades, servicios o profesiones por los artículos 1° y 4° de esta decisión administrativa deberán tramitar el Certificado Único Habilitante para Circulación - Emergencia Covid-19, establecido por la Decisión Administrativa N° 897/20.</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Asimismo, las personas que concurran a los mismos deberán circular con la constancia del turno otorgado para su atención, cuando corresponda, o desplazarse a establecimientos de cercanía al domicilio.</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ARTÍCULO 9°.- Las Provincias de Córdoba, de Río Negro y de Santa Fe deberán realizar, en forma conjunta con el MINISTERIO DE SALUD de la Nación, el monitoreo de la evolución epidemiológica y de las condiciones sanitarias correspondientes.</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En forma semanal, la autoridad sanitaria provincial, deberá remitir al MINISTERIO DE SALUD de la Nación toda la información que se le requiera para evaluar la trayectoria de la enfermedad y la capacidad del sistema sanitario para atender a la población. Si la autoridad provincial detectare un signo de alerta epidemiológico o sanitario, deberá comunicarlo de inmediato a la autoridad sanitaria nacional.</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Si el MINISTERIO DE SALUD de la Nación detectare una situación de riesgo epidemiológico o sanitario, deberá recomendar en forma inmediata al Coordinador de la “Unidad de Coordinación General del Plan Integral para la Prevención de Eventos de Salud Pública de Importancia Internacional” la adopción de las medidas pertinentes para contener la transmisión del virus SARS-CoV-2, pudiendo este, en cualquier momento, disponer la suspensión de la excepción dispuesta.</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highlight w:val="yellow"/>
        </w:rPr>
      </w:pPr>
      <w:r w:rsidRPr="00B75677">
        <w:rPr>
          <w:rFonts w:ascii="Helvetica Neue" w:hAnsi="Helvetica Neue"/>
          <w:color w:val="FF0000"/>
          <w:sz w:val="21"/>
          <w:szCs w:val="21"/>
          <w:highlight w:val="yellow"/>
        </w:rPr>
        <w:t>ARTÍCULO 10.- La presente norma entrará en vigencia a partir del día de su publicación en el BOLETÍN OFICIAL.</w:t>
      </w:r>
    </w:p>
    <w:p w:rsidR="00B75677" w:rsidRPr="00B75677" w:rsidRDefault="00B75677" w:rsidP="00B75677">
      <w:pPr>
        <w:pStyle w:val="NormalWeb"/>
        <w:shd w:val="clear" w:color="auto" w:fill="F9F9F9"/>
        <w:spacing w:before="0" w:beforeAutospacing="0" w:after="360" w:afterAutospacing="0"/>
        <w:jc w:val="both"/>
        <w:rPr>
          <w:rFonts w:ascii="Helvetica Neue" w:hAnsi="Helvetica Neue"/>
          <w:color w:val="FF0000"/>
          <w:sz w:val="21"/>
          <w:szCs w:val="21"/>
        </w:rPr>
      </w:pPr>
      <w:r w:rsidRPr="00B75677">
        <w:rPr>
          <w:rFonts w:ascii="Helvetica Neue" w:hAnsi="Helvetica Neue"/>
          <w:color w:val="FF0000"/>
          <w:sz w:val="21"/>
          <w:szCs w:val="21"/>
          <w:highlight w:val="yellow"/>
        </w:rPr>
        <w:t>ARTÍCULO 11.- Comuníquese, publíquese, dése a la DIRECCIÓN NACIONAL DEL REGISTRO OFICIAL y archívese. Santiago Andrés Cafiero - Ginés Mario González García</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lastRenderedPageBreak/>
        <w:t>NOTA: El/los Anexo/s que integra/n este(a) Decisión Administrativa se publican en la edición web del BORA -www.boletinoficial.gob.ar-</w:t>
      </w:r>
    </w:p>
    <w:p w:rsidR="00B75677" w:rsidRDefault="00B75677" w:rsidP="00B75677">
      <w:pPr>
        <w:pStyle w:val="NormalWeb"/>
        <w:shd w:val="clear" w:color="auto" w:fill="F9F9F9"/>
        <w:spacing w:before="0" w:beforeAutospacing="0" w:after="360" w:afterAutospacing="0"/>
        <w:jc w:val="both"/>
        <w:rPr>
          <w:rFonts w:ascii="Helvetica Neue" w:hAnsi="Helvetica Neue"/>
          <w:color w:val="111111"/>
          <w:sz w:val="21"/>
          <w:szCs w:val="21"/>
        </w:rPr>
      </w:pPr>
      <w:r>
        <w:rPr>
          <w:rFonts w:ascii="Helvetica Neue" w:hAnsi="Helvetica Neue"/>
          <w:color w:val="111111"/>
          <w:sz w:val="21"/>
          <w:szCs w:val="21"/>
        </w:rPr>
        <w:t>e. 29/06/2020 N° 25692/20 v. 29/06/2020</w:t>
      </w:r>
    </w:p>
    <w:p w:rsidR="00B75677" w:rsidRDefault="00B75677" w:rsidP="00B75677">
      <w:pPr>
        <w:pStyle w:val="text-muted"/>
        <w:shd w:val="clear" w:color="auto" w:fill="F9F9F9"/>
        <w:spacing w:before="0" w:beforeAutospacing="0" w:after="360" w:afterAutospacing="0"/>
        <w:rPr>
          <w:rFonts w:ascii="Helvetica Neue" w:hAnsi="Helvetica Neue"/>
          <w:color w:val="767676"/>
          <w:sz w:val="27"/>
          <w:szCs w:val="27"/>
        </w:rPr>
      </w:pPr>
      <w:r>
        <w:rPr>
          <w:rFonts w:ascii="Helvetica Neue" w:hAnsi="Helvetica Neue"/>
          <w:color w:val="767676"/>
          <w:sz w:val="22"/>
          <w:szCs w:val="22"/>
        </w:rPr>
        <w:t>Fecha de publicación 29/06/2020</w:t>
      </w:r>
    </w:p>
    <w:p w:rsidR="00500406" w:rsidRPr="00B75677" w:rsidRDefault="00500406">
      <w:pPr>
        <w:rPr>
          <w:lang w:val="es-AR"/>
        </w:rPr>
      </w:pPr>
    </w:p>
    <w:sectPr w:rsidR="00500406" w:rsidRPr="00B75677" w:rsidSect="00C4770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F5"/>
    <w:rsid w:val="00500406"/>
    <w:rsid w:val="00712116"/>
    <w:rsid w:val="00A653F5"/>
    <w:rsid w:val="00B066E7"/>
    <w:rsid w:val="00B75677"/>
    <w:rsid w:val="00C477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CB96BA0"/>
  <w15:chartTrackingRefBased/>
  <w15:docId w15:val="{09B55982-4EAD-A840-A793-415DCD39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A653F5"/>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A653F5"/>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A653F5"/>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53F5"/>
    <w:pPr>
      <w:spacing w:before="100" w:beforeAutospacing="1" w:after="100" w:afterAutospacing="1"/>
    </w:pPr>
    <w:rPr>
      <w:rFonts w:ascii="Times New Roman" w:eastAsia="Times New Roman" w:hAnsi="Times New Roman" w:cs="Times New Roman"/>
      <w:lang w:val="es-AR" w:eastAsia="es-ES_tradnl"/>
    </w:rPr>
  </w:style>
  <w:style w:type="character" w:customStyle="1" w:styleId="Ttulo1Car">
    <w:name w:val="Título 1 Car"/>
    <w:basedOn w:val="Fuentedeprrafopredeter"/>
    <w:link w:val="Ttulo1"/>
    <w:uiPriority w:val="9"/>
    <w:rsid w:val="00A653F5"/>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653F5"/>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A653F5"/>
    <w:rPr>
      <w:rFonts w:ascii="Times New Roman" w:eastAsia="Times New Roman" w:hAnsi="Times New Roman" w:cs="Times New Roman"/>
      <w:b/>
      <w:bCs/>
      <w:sz w:val="15"/>
      <w:szCs w:val="15"/>
      <w:lang w:eastAsia="es-ES_tradnl"/>
    </w:rPr>
  </w:style>
  <w:style w:type="paragraph" w:customStyle="1" w:styleId="text-muted">
    <w:name w:val="text-muted"/>
    <w:basedOn w:val="Normal"/>
    <w:rsid w:val="00B75677"/>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213136">
      <w:bodyDiv w:val="1"/>
      <w:marLeft w:val="0"/>
      <w:marRight w:val="0"/>
      <w:marTop w:val="0"/>
      <w:marBottom w:val="0"/>
      <w:divBdr>
        <w:top w:val="none" w:sz="0" w:space="0" w:color="auto"/>
        <w:left w:val="none" w:sz="0" w:space="0" w:color="auto"/>
        <w:bottom w:val="none" w:sz="0" w:space="0" w:color="auto"/>
        <w:right w:val="none" w:sz="0" w:space="0" w:color="auto"/>
      </w:divBdr>
    </w:div>
    <w:div w:id="13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117871366">
          <w:marLeft w:val="-225"/>
          <w:marRight w:val="-225"/>
          <w:marTop w:val="0"/>
          <w:marBottom w:val="0"/>
          <w:divBdr>
            <w:top w:val="none" w:sz="0" w:space="0" w:color="auto"/>
            <w:left w:val="none" w:sz="0" w:space="0" w:color="auto"/>
            <w:bottom w:val="none" w:sz="0" w:space="0" w:color="auto"/>
            <w:right w:val="none" w:sz="0" w:space="0" w:color="auto"/>
          </w:divBdr>
          <w:divsChild>
            <w:div w:id="1761102261">
              <w:marLeft w:val="0"/>
              <w:marRight w:val="0"/>
              <w:marTop w:val="0"/>
              <w:marBottom w:val="225"/>
              <w:divBdr>
                <w:top w:val="none" w:sz="0" w:space="0" w:color="auto"/>
                <w:left w:val="none" w:sz="0" w:space="0" w:color="auto"/>
                <w:bottom w:val="none" w:sz="0" w:space="0" w:color="auto"/>
                <w:right w:val="none" w:sz="0" w:space="0" w:color="auto"/>
              </w:divBdr>
            </w:div>
          </w:divsChild>
        </w:div>
        <w:div w:id="1810047290">
          <w:marLeft w:val="-225"/>
          <w:marRight w:val="-225"/>
          <w:marTop w:val="0"/>
          <w:marBottom w:val="0"/>
          <w:divBdr>
            <w:top w:val="none" w:sz="0" w:space="0" w:color="auto"/>
            <w:left w:val="none" w:sz="0" w:space="0" w:color="auto"/>
            <w:bottom w:val="none" w:sz="0" w:space="0" w:color="auto"/>
            <w:right w:val="none" w:sz="0" w:space="0" w:color="auto"/>
          </w:divBdr>
          <w:divsChild>
            <w:div w:id="1529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1859</Words>
  <Characters>10226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Setteembrino</dc:creator>
  <cp:keywords/>
  <dc:description/>
  <cp:lastModifiedBy>Pablo Setteembrino</cp:lastModifiedBy>
  <cp:revision>2</cp:revision>
  <dcterms:created xsi:type="dcterms:W3CDTF">2020-07-01T20:04:00Z</dcterms:created>
  <dcterms:modified xsi:type="dcterms:W3CDTF">2020-07-01T20:04:00Z</dcterms:modified>
</cp:coreProperties>
</file>